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3F" w:rsidRPr="00EB2E4F" w:rsidRDefault="00EB2E4F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Hlk99703749"/>
      <w:r>
        <w:rPr>
          <w:rFonts w:ascii="Times New Roman" w:hAnsi="Times New Roman" w:cs="Times New Roman"/>
          <w:b/>
          <w:sz w:val="28"/>
        </w:rPr>
        <w:t>202</w:t>
      </w:r>
      <w:r w:rsidR="00E42F2A">
        <w:rPr>
          <w:rFonts w:ascii="Times New Roman" w:hAnsi="Times New Roman" w:cs="Times New Roman"/>
          <w:b/>
          <w:sz w:val="28"/>
          <w:lang w:val="kk-KZ"/>
        </w:rPr>
        <w:t>4</w:t>
      </w:r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AE033F">
        <w:rPr>
          <w:rFonts w:ascii="Times New Roman" w:hAnsi="Times New Roman" w:cs="Times New Roman"/>
          <w:b/>
          <w:sz w:val="28"/>
        </w:rPr>
        <w:t>жыл</w:t>
      </w:r>
      <w:proofErr w:type="gramEnd"/>
      <w:r w:rsidR="00AE033F">
        <w:rPr>
          <w:rFonts w:ascii="Times New Roman" w:hAnsi="Times New Roman" w:cs="Times New Roman"/>
          <w:b/>
          <w:sz w:val="28"/>
        </w:rPr>
        <w:t>ға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Ақмола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облысы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</w:t>
      </w:r>
      <w:r w:rsidR="00AE033F" w:rsidRPr="00AE033F">
        <w:rPr>
          <w:rFonts w:ascii="Times New Roman" w:hAnsi="Times New Roman" w:cs="Times New Roman"/>
          <w:b/>
          <w:sz w:val="28"/>
        </w:rPr>
        <w:t>ілім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Степного</w:t>
      </w:r>
      <w:r w:rsidR="00AE033F">
        <w:rPr>
          <w:rFonts w:ascii="Times New Roman" w:hAnsi="Times New Roman" w:cs="Times New Roman"/>
          <w:b/>
          <w:sz w:val="28"/>
        </w:rPr>
        <w:t>рск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қаласы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білім</w:t>
      </w:r>
      <w:proofErr w:type="spellEnd"/>
      <w:r w:rsid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>
        <w:rPr>
          <w:rFonts w:ascii="Times New Roman" w:hAnsi="Times New Roman" w:cs="Times New Roman"/>
          <w:b/>
          <w:sz w:val="28"/>
        </w:rPr>
        <w:t>бөлімі</w:t>
      </w:r>
      <w:proofErr w:type="spellEnd"/>
      <w:r w:rsidR="00942602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AE033F">
        <w:rPr>
          <w:rFonts w:ascii="Times New Roman" w:hAnsi="Times New Roman" w:cs="Times New Roman"/>
          <w:b/>
          <w:sz w:val="28"/>
        </w:rPr>
        <w:t>»</w:t>
      </w:r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r w:rsidR="00942602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мекемесінің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саласындағы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қызметі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r w:rsidR="00AE033F" w:rsidRPr="00DF11F4">
        <w:rPr>
          <w:rFonts w:ascii="Times New Roman" w:hAnsi="Times New Roman" w:cs="Times New Roman"/>
          <w:b/>
          <w:sz w:val="28"/>
          <w:lang w:val="kk-KZ"/>
        </w:rPr>
        <w:t xml:space="preserve">есебін көпшілік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талқылау</w:t>
      </w:r>
      <w:proofErr w:type="spellEnd"/>
      <w:r w:rsidR="00AE033F">
        <w:rPr>
          <w:rFonts w:ascii="Times New Roman" w:hAnsi="Times New Roman" w:cs="Times New Roman"/>
          <w:b/>
          <w:sz w:val="28"/>
          <w:lang w:val="kk-KZ"/>
        </w:rPr>
        <w:t>ды</w:t>
      </w:r>
      <w:r w:rsidR="00AE033F" w:rsidRPr="00AE033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E033F" w:rsidRPr="00AE033F">
        <w:rPr>
          <w:rFonts w:ascii="Times New Roman" w:hAnsi="Times New Roman" w:cs="Times New Roman"/>
          <w:b/>
          <w:sz w:val="28"/>
        </w:rPr>
        <w:t>өткі</w:t>
      </w:r>
      <w:r>
        <w:rPr>
          <w:rFonts w:ascii="Times New Roman" w:hAnsi="Times New Roman" w:cs="Times New Roman"/>
          <w:b/>
          <w:sz w:val="28"/>
        </w:rPr>
        <w:t>зу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қорытындысы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:rsidR="00AE033F" w:rsidRDefault="00AE033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</w:t>
      </w:r>
      <w:r w:rsidR="00E35617">
        <w:rPr>
          <w:rFonts w:ascii="Times New Roman" w:hAnsi="Times New Roman" w:cs="Times New Roman"/>
          <w:sz w:val="28"/>
          <w:lang w:val="kk-KZ"/>
        </w:rPr>
        <w:t>лік талқылауды өткізу күні: 202</w:t>
      </w:r>
      <w:r w:rsidR="00E42F2A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</w:t>
      </w:r>
      <w:r w:rsidR="00E42F2A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:rsidR="00E0139F" w:rsidRDefault="00DF11F4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bookmarkStart w:id="1" w:name="_Hlk99703967"/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мемлекеттік мекемесінің</w:t>
      </w:r>
      <w:r w:rsidR="00EB2E4F">
        <w:rPr>
          <w:rFonts w:ascii="Times New Roman" w:hAnsi="Times New Roman" w:cs="Times New Roman"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bookmarkEnd w:id="1"/>
      <w:r w:rsidR="00E0139F" w:rsidRPr="00E0139F">
        <w:rPr>
          <w:rFonts w:ascii="Calibri" w:eastAsia="Calibri" w:hAnsi="Calibri" w:cs="Times New Roman"/>
        </w:rPr>
        <w:fldChar w:fldCharType="begin"/>
      </w:r>
      <w:r w:rsidR="00E0139F" w:rsidRPr="00E0139F">
        <w:rPr>
          <w:rFonts w:ascii="Calibri" w:eastAsia="Calibri" w:hAnsi="Calibri" w:cs="Times New Roman"/>
          <w:lang w:val="kk-KZ"/>
        </w:rPr>
        <w:instrText xml:space="preserve"> HYPERLINK "http://sc0027.stepnogorsk.aqmoedu.kz/content/kgu-obscheobrazovatelynaya-shkola-sela-izobilynoe-otdela-obrazovaniya-" \t "_blank" </w:instrText>
      </w:r>
      <w:r w:rsidR="00E0139F" w:rsidRPr="00E0139F">
        <w:rPr>
          <w:rFonts w:ascii="Calibri" w:eastAsia="Calibri" w:hAnsi="Calibri" w:cs="Times New Roman"/>
        </w:rPr>
        <w:fldChar w:fldCharType="separate"/>
      </w:r>
      <w:r w:rsidR="00E0139F" w:rsidRPr="00E0139F">
        <w:rPr>
          <w:rFonts w:ascii="Arial" w:eastAsia="Calibri" w:hAnsi="Arial" w:cs="Arial"/>
          <w:color w:val="0000FF"/>
          <w:sz w:val="23"/>
          <w:szCs w:val="23"/>
          <w:u w:val="single"/>
          <w:shd w:val="clear" w:color="auto" w:fill="FFFFFF"/>
          <w:lang w:val="kk-KZ"/>
        </w:rPr>
        <w:t>http://sc0027.stepnogorsk.aqmoedu.kz/content/kgu-obscheobrazovatelynaya-shkola-sela-izobilynoe-otdela-obrazovaniya-</w:t>
      </w:r>
      <w:r w:rsidR="00E0139F" w:rsidRPr="00E0139F">
        <w:rPr>
          <w:rFonts w:ascii="Calibri" w:eastAsia="Calibri" w:hAnsi="Calibri" w:cs="Times New Roman"/>
        </w:rPr>
        <w:fldChar w:fldCharType="end"/>
      </w:r>
      <w:r w:rsidR="00E013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E033F">
        <w:rPr>
          <w:rFonts w:ascii="Times New Roman" w:hAnsi="Times New Roman" w:cs="Times New Roman"/>
          <w:sz w:val="28"/>
          <w:lang w:val="kk-KZ"/>
        </w:rPr>
        <w:t>сайтында</w:t>
      </w:r>
      <w:bookmarkStart w:id="2" w:name="_GoBack"/>
      <w:bookmarkEnd w:id="2"/>
    </w:p>
    <w:p w:rsidR="00E0139F" w:rsidRDefault="00E0139F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="00AC38BC">
        <w:rPr>
          <w:rFonts w:ascii="Times New Roman" w:hAnsi="Times New Roman" w:cs="Times New Roman"/>
          <w:sz w:val="28"/>
          <w:lang w:val="kk-KZ"/>
        </w:rPr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E35617">
        <w:rPr>
          <w:rFonts w:ascii="Times New Roman" w:hAnsi="Times New Roman" w:cs="Times New Roman"/>
          <w:sz w:val="28"/>
          <w:lang w:val="kk-KZ"/>
        </w:rPr>
        <w:t>2024</w:t>
      </w:r>
      <w:r w:rsidR="00AE033F">
        <w:rPr>
          <w:rFonts w:ascii="Times New Roman" w:hAnsi="Times New Roman" w:cs="Times New Roman"/>
          <w:sz w:val="28"/>
          <w:lang w:val="kk-KZ"/>
        </w:rPr>
        <w:t xml:space="preserve"> жылғы                     8 сәуір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мемлекеттік мекемесінің</w:t>
      </w:r>
      <w:r w:rsidR="00AE033F" w:rsidRPr="00AE033F">
        <w:rPr>
          <w:rFonts w:ascii="Times New Roman" w:hAnsi="Times New Roman" w:cs="Times New Roman"/>
          <w:sz w:val="28"/>
          <w:lang w:val="kk-KZ"/>
        </w:rPr>
        <w:t xml:space="preserve"> сайтына ақпаратты орналастыру</w:t>
      </w:r>
    </w:p>
    <w:p w:rsidR="00E310D2" w:rsidRPr="00E0139F" w:rsidRDefault="00E0139F" w:rsidP="00E0139F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F60B67">
        <w:rPr>
          <w:rFonts w:ascii="Times New Roman" w:hAnsi="Times New Roman" w:cs="Times New Roman"/>
          <w:sz w:val="28"/>
          <w:lang w:val="kk-KZ"/>
        </w:rPr>
        <w:t xml:space="preserve">4. Көпшілік талқылау қатысушыларының ұсыныстары және (немесе) ескертулер тізімі: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>«Ақмола облысы білім басқармасының Степногорск қаласы бойынша білім бөлімі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 Изобильный ауылының жалпы білім беретін мектебі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» </w:t>
      </w:r>
      <w:r w:rsidR="00EB2E4F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EB2E4F" w:rsidRPr="00EB2E4F">
        <w:rPr>
          <w:rFonts w:ascii="Times New Roman" w:hAnsi="Times New Roman" w:cs="Times New Roman"/>
          <w:b/>
          <w:sz w:val="28"/>
          <w:lang w:val="kk-KZ"/>
        </w:rPr>
        <w:t xml:space="preserve">мемлекеттік мекемесінің </w:t>
      </w:r>
      <w:r w:rsidR="00F60B67"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EB2E4F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басшысы:</w:t>
      </w:r>
      <w:r w:rsidR="00D64CAD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А.Самойленко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E42F2A">
        <w:rPr>
          <w:rFonts w:ascii="Times New Roman" w:hAnsi="Times New Roman" w:cs="Times New Roman"/>
          <w:b/>
          <w:sz w:val="28"/>
          <w:lang w:val="kk-KZ"/>
        </w:rPr>
        <w:t xml:space="preserve">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E42F2A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42F2A">
        <w:rPr>
          <w:rFonts w:ascii="Times New Roman" w:hAnsi="Times New Roman" w:cs="Times New Roman"/>
          <w:sz w:val="24"/>
          <w:lang w:val="kk-KZ"/>
        </w:rPr>
        <w:t>Орынд.</w:t>
      </w:r>
      <w:r w:rsidR="00B507A4" w:rsidRPr="00E42F2A">
        <w:rPr>
          <w:rFonts w:ascii="Times New Roman" w:hAnsi="Times New Roman" w:cs="Times New Roman"/>
          <w:sz w:val="24"/>
        </w:rPr>
        <w:t>:</w:t>
      </w:r>
      <w:r w:rsidR="00B507A4" w:rsidRPr="00E42F2A">
        <w:rPr>
          <w:rFonts w:ascii="Times New Roman" w:hAnsi="Times New Roman" w:cs="Times New Roman"/>
          <w:sz w:val="24"/>
          <w:lang w:val="kk-KZ"/>
        </w:rPr>
        <w:t>Ж.Бекмолдина</w:t>
      </w:r>
    </w:p>
    <w:p w:rsidR="00844F2C" w:rsidRPr="00E42F2A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E42F2A">
        <w:rPr>
          <w:rFonts w:ascii="Times New Roman" w:hAnsi="Times New Roman" w:cs="Times New Roman"/>
          <w:sz w:val="24"/>
          <w:lang w:val="kk-KZ"/>
        </w:rPr>
        <w:t xml:space="preserve">Тел: </w:t>
      </w:r>
      <w:r w:rsidR="00E42F2A">
        <w:rPr>
          <w:rFonts w:ascii="Times New Roman" w:hAnsi="Times New Roman" w:cs="Times New Roman"/>
          <w:sz w:val="24"/>
          <w:lang w:val="kk-KZ"/>
        </w:rPr>
        <w:t>8716-45-47042</w:t>
      </w:r>
    </w:p>
    <w:sectPr w:rsidR="00844F2C" w:rsidRPr="00E42F2A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36"/>
    <w:rsid w:val="0004144E"/>
    <w:rsid w:val="002672AB"/>
    <w:rsid w:val="002E77BE"/>
    <w:rsid w:val="002F3734"/>
    <w:rsid w:val="00327BB3"/>
    <w:rsid w:val="00441C05"/>
    <w:rsid w:val="00447FE8"/>
    <w:rsid w:val="00633D35"/>
    <w:rsid w:val="00675F36"/>
    <w:rsid w:val="007B1594"/>
    <w:rsid w:val="00844F2C"/>
    <w:rsid w:val="008A0A13"/>
    <w:rsid w:val="008F446B"/>
    <w:rsid w:val="00942602"/>
    <w:rsid w:val="00AC38BC"/>
    <w:rsid w:val="00AE033F"/>
    <w:rsid w:val="00AF7B36"/>
    <w:rsid w:val="00B433D5"/>
    <w:rsid w:val="00B507A4"/>
    <w:rsid w:val="00B77537"/>
    <w:rsid w:val="00D64CAD"/>
    <w:rsid w:val="00DF11F4"/>
    <w:rsid w:val="00E0139F"/>
    <w:rsid w:val="00E310D2"/>
    <w:rsid w:val="00E35617"/>
    <w:rsid w:val="00E42F2A"/>
    <w:rsid w:val="00EB2E4F"/>
    <w:rsid w:val="00F44318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B15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B1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2025-02-17T05:00:00Z</cp:lastPrinted>
  <dcterms:created xsi:type="dcterms:W3CDTF">2022-04-01T05:31:00Z</dcterms:created>
  <dcterms:modified xsi:type="dcterms:W3CDTF">2025-02-17T05:00:00Z</dcterms:modified>
</cp:coreProperties>
</file>